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06" w:rsidRDefault="002A0306" w:rsidP="002A0306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ALLEGATO TECNICO </w:t>
      </w:r>
    </w:p>
    <w:p w:rsidR="002A0306" w:rsidRDefault="002A0306" w:rsidP="002A0306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voce b)</w:t>
      </w:r>
    </w:p>
    <w:p w:rsidR="002A0306" w:rsidRDefault="002A0306" w:rsidP="002A0306">
      <w:pPr>
        <w:pStyle w:val="Paragrafoelenco"/>
        <w:autoSpaceDE w:val="0"/>
        <w:autoSpaceDN w:val="0"/>
        <w:adjustRightInd w:val="0"/>
        <w:rPr>
          <w:rFonts w:ascii="TTE10794A0t00" w:eastAsia="Calibri" w:hAnsi="TTE10794A0t00" w:cs="TTE10794A0t00"/>
          <w:b/>
          <w:lang w:eastAsia="en-US"/>
        </w:rPr>
      </w:pPr>
    </w:p>
    <w:p w:rsidR="002A0306" w:rsidRDefault="002A0306" w:rsidP="002A0306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TTE10832F0t00" w:eastAsia="Calibri" w:hAnsi="TTE10832F0t00" w:cs="TTE10832F0t00"/>
          <w:sz w:val="28"/>
          <w:szCs w:val="28"/>
          <w:lang w:eastAsia="en-US"/>
        </w:rPr>
        <w:t xml:space="preserve"> </w:t>
      </w:r>
      <w:r>
        <w:rPr>
          <w:rFonts w:ascii="Cambria" w:hAnsi="Cambria"/>
          <w:b/>
          <w:sz w:val="28"/>
          <w:szCs w:val="28"/>
        </w:rPr>
        <w:t xml:space="preserve">SERVIZIO DI CHIAMATE TELEFONICHE OUTBOUND PER I </w:t>
      </w:r>
    </w:p>
    <w:p w:rsidR="002A0306" w:rsidRDefault="002A0306" w:rsidP="002A0306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SERVIZI SOCIO-SANITARI E SANITARI</w:t>
      </w:r>
    </w:p>
    <w:p w:rsidR="002A0306" w:rsidRDefault="002A0306" w:rsidP="002A0306">
      <w:pPr>
        <w:autoSpaceDE w:val="0"/>
        <w:autoSpaceDN w:val="0"/>
        <w:adjustRightInd w:val="0"/>
        <w:rPr>
          <w:rFonts w:ascii="TTE10794A0t00" w:eastAsia="Calibri" w:hAnsi="TTE10794A0t00" w:cs="TTE10794A0t00"/>
          <w:b/>
          <w:lang w:eastAsia="en-US"/>
        </w:rPr>
      </w:pPr>
    </w:p>
    <w:p w:rsidR="002A0306" w:rsidRDefault="002A0306" w:rsidP="002A0306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rPr>
          <w:rFonts w:ascii="Cambria" w:eastAsia="Calibri" w:hAnsi="Cambria" w:cs="TTE10794A0t00"/>
          <w:b/>
          <w:sz w:val="22"/>
          <w:szCs w:val="22"/>
          <w:lang w:eastAsia="en-US"/>
        </w:rPr>
      </w:pPr>
      <w:r>
        <w:rPr>
          <w:rFonts w:ascii="Cambria" w:eastAsia="Calibri" w:hAnsi="Cambria" w:cs="TTE10794A0t00"/>
          <w:b/>
          <w:sz w:val="22"/>
          <w:szCs w:val="22"/>
          <w:lang w:eastAsia="en-US"/>
        </w:rPr>
        <w:t>OGGETTO</w:t>
      </w: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 xml:space="preserve">Il presente Allegato ha per oggetto il servizio di chiamate telefoniche </w:t>
      </w:r>
      <w:r>
        <w:rPr>
          <w:rFonts w:ascii="Cambria" w:eastAsia="Calibri" w:hAnsi="Cambria" w:cs="TTE10832F0t00"/>
          <w:i/>
          <w:sz w:val="22"/>
          <w:szCs w:val="22"/>
          <w:lang w:eastAsia="en-US"/>
        </w:rPr>
        <w:t>outbound</w:t>
      </w:r>
      <w:r>
        <w:rPr>
          <w:rFonts w:ascii="Cambria" w:eastAsia="Calibri" w:hAnsi="Cambria" w:cs="TTE10832F0t00"/>
          <w:sz w:val="22"/>
          <w:szCs w:val="22"/>
          <w:lang w:eastAsia="en-US"/>
        </w:rPr>
        <w:t xml:space="preserve"> per i servizi socio-sanitari e sanitari che si articola nelle seguenti tipologie:</w:t>
      </w:r>
    </w:p>
    <w:p w:rsidR="002A0306" w:rsidRDefault="002A0306" w:rsidP="002A0306">
      <w:pPr>
        <w:autoSpaceDE w:val="0"/>
        <w:autoSpaceDN w:val="0"/>
        <w:adjustRightInd w:val="0"/>
        <w:rPr>
          <w:rFonts w:ascii="Cambria" w:eastAsia="Calibri" w:hAnsi="Cambria" w:cs="TTE10832F0t00"/>
          <w:sz w:val="22"/>
          <w:szCs w:val="22"/>
          <w:lang w:eastAsia="en-US"/>
        </w:rPr>
      </w:pPr>
    </w:p>
    <w:p w:rsidR="004B2FED" w:rsidRDefault="004B2FED" w:rsidP="004B2FE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 xml:space="preserve">supporto alla Regione nell’ambito delle attività di </w:t>
      </w:r>
      <w:r w:rsidR="00D23F98">
        <w:rPr>
          <w:rFonts w:ascii="Cambria" w:eastAsia="Calibri" w:hAnsi="Cambria" w:cs="TTE10832F0t00"/>
          <w:sz w:val="22"/>
          <w:szCs w:val="22"/>
          <w:lang w:eastAsia="en-US"/>
        </w:rPr>
        <w:t>comunicazione,</w:t>
      </w:r>
      <w:r>
        <w:rPr>
          <w:rFonts w:ascii="Cambria" w:eastAsia="Calibri" w:hAnsi="Cambria" w:cs="TTE10832F0t00"/>
          <w:sz w:val="22"/>
          <w:szCs w:val="22"/>
          <w:lang w:eastAsia="en-US"/>
        </w:rPr>
        <w:t xml:space="preserve"> informazione </w:t>
      </w:r>
      <w:r w:rsidR="00D23F98">
        <w:rPr>
          <w:rFonts w:ascii="Cambria" w:eastAsia="Calibri" w:hAnsi="Cambria" w:cs="TTE10832F0t00"/>
          <w:sz w:val="22"/>
          <w:szCs w:val="22"/>
          <w:lang w:eastAsia="en-US"/>
        </w:rPr>
        <w:t xml:space="preserve">e sensibilizzazione </w:t>
      </w:r>
      <w:r>
        <w:rPr>
          <w:rFonts w:ascii="Cambria" w:eastAsia="Calibri" w:hAnsi="Cambria" w:cs="TTE10832F0t00"/>
          <w:sz w:val="22"/>
          <w:szCs w:val="22"/>
          <w:lang w:eastAsia="en-US"/>
        </w:rPr>
        <w:t>alla popolazione relativamente agli interventi ed attività previsti dalle diverse strutture regionali competenti in materia di promozione e protezione sociale e di sanità pubblica;</w:t>
      </w:r>
    </w:p>
    <w:p w:rsidR="004B2FED" w:rsidRDefault="004B2FED" w:rsidP="004B2FED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</w:p>
    <w:p w:rsidR="004B2FED" w:rsidRDefault="004B2FED" w:rsidP="004B2FE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>chiamate di conferma o comunicazione di spostamento per appuntamenti per cause di forza maggiore/gestione di richieste di prenotazioni pervenute da canali diversi rispetto a quelli già descritti nel capitolato (contattando telefonicamente l’utente);</w:t>
      </w:r>
    </w:p>
    <w:p w:rsidR="004B2FED" w:rsidRDefault="004B2FED" w:rsidP="004B2FED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</w:p>
    <w:p w:rsidR="004B2FED" w:rsidRDefault="004B2FED" w:rsidP="004B2FE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>interventi di sorveglianza e monitoraggio predisposti dalla Regione nell’ambito del Piano operativo per la prevenzione degli effetti del caldo sulla salute;</w:t>
      </w:r>
    </w:p>
    <w:p w:rsidR="004B2FED" w:rsidRDefault="004B2FED" w:rsidP="004B2FED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</w:p>
    <w:p w:rsidR="004B2FED" w:rsidRPr="00D23F98" w:rsidRDefault="00B806A4" w:rsidP="004B2FE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 xml:space="preserve">interventi di informazione </w:t>
      </w:r>
      <w:r w:rsidR="004B2FED" w:rsidRPr="00D23F98">
        <w:rPr>
          <w:rFonts w:ascii="Cambria" w:eastAsia="Calibri" w:hAnsi="Cambria" w:cs="TTE10832F0t00"/>
          <w:sz w:val="22"/>
          <w:szCs w:val="22"/>
          <w:lang w:eastAsia="en-US"/>
        </w:rPr>
        <w:t>a supporto delle campagne di vaccinazione, screening oncologici, ecc. promossi dalla Regione;</w:t>
      </w:r>
    </w:p>
    <w:p w:rsidR="004B2FED" w:rsidRDefault="004B2FED" w:rsidP="004B2FED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</w:p>
    <w:p w:rsidR="004B2FED" w:rsidRDefault="004B2FED" w:rsidP="004B2FE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 xml:space="preserve">interviste chiamate “outbound” finalizzate a contattare gruppi target di popolazione per azioni di monitoraggio-follow up </w:t>
      </w:r>
      <w:r w:rsidR="00D23F98">
        <w:rPr>
          <w:rFonts w:ascii="Cambria" w:eastAsia="Calibri" w:hAnsi="Cambria" w:cs="TTE10832F0t00"/>
          <w:sz w:val="22"/>
          <w:szCs w:val="22"/>
          <w:lang w:eastAsia="en-US"/>
        </w:rPr>
        <w:t>.</w:t>
      </w:r>
    </w:p>
    <w:p w:rsidR="002A0306" w:rsidRDefault="002A0306" w:rsidP="002A0306">
      <w:pPr>
        <w:autoSpaceDE w:val="0"/>
        <w:autoSpaceDN w:val="0"/>
        <w:adjustRightInd w:val="0"/>
        <w:rPr>
          <w:rFonts w:ascii="TTE10832F0t00" w:eastAsia="Calibri" w:hAnsi="TTE10832F0t00" w:cs="TTE10832F0t00"/>
          <w:lang w:eastAsia="en-US"/>
        </w:rPr>
      </w:pPr>
    </w:p>
    <w:p w:rsidR="002A0306" w:rsidRDefault="002A0306" w:rsidP="002A0306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rPr>
          <w:rFonts w:ascii="Cambria" w:eastAsia="Calibri" w:hAnsi="Cambria" w:cs="TTE10794A0t00"/>
          <w:b/>
          <w:sz w:val="22"/>
          <w:szCs w:val="22"/>
          <w:lang w:eastAsia="en-US"/>
        </w:rPr>
      </w:pPr>
      <w:r>
        <w:rPr>
          <w:rFonts w:ascii="Cambria" w:eastAsia="Calibri" w:hAnsi="Cambria" w:cs="TTE10794A0t00"/>
          <w:b/>
          <w:sz w:val="22"/>
          <w:szCs w:val="22"/>
          <w:lang w:eastAsia="en-US"/>
        </w:rPr>
        <w:t>DESTINATARI</w:t>
      </w:r>
    </w:p>
    <w:p w:rsidR="002A0306" w:rsidRDefault="004B2FED" w:rsidP="002A0306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>Fruitori del Servizio Sanitario Regionale</w:t>
      </w:r>
    </w:p>
    <w:p w:rsidR="002A0306" w:rsidRDefault="002A0306" w:rsidP="002A0306">
      <w:pPr>
        <w:autoSpaceDE w:val="0"/>
        <w:autoSpaceDN w:val="0"/>
        <w:adjustRightInd w:val="0"/>
        <w:ind w:left="1440"/>
        <w:jc w:val="both"/>
        <w:rPr>
          <w:rFonts w:ascii="TTE10832F0t00" w:eastAsia="Calibri" w:hAnsi="TTE10832F0t00" w:cs="TTE10832F0t00"/>
          <w:lang w:eastAsia="en-US"/>
        </w:rPr>
      </w:pPr>
    </w:p>
    <w:p w:rsidR="002A0306" w:rsidRDefault="002A0306" w:rsidP="002A0306">
      <w:pPr>
        <w:autoSpaceDE w:val="0"/>
        <w:autoSpaceDN w:val="0"/>
        <w:adjustRightInd w:val="0"/>
        <w:rPr>
          <w:rFonts w:ascii="TTE10794A0t00" w:eastAsia="Calibri" w:hAnsi="TTE10794A0t00" w:cs="TTE10794A0t00"/>
          <w:b/>
          <w:lang w:eastAsia="en-US"/>
        </w:rPr>
      </w:pPr>
    </w:p>
    <w:p w:rsidR="002A0306" w:rsidRDefault="002A0306" w:rsidP="00025BF1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rPr>
          <w:rFonts w:ascii="Cambria" w:eastAsia="Calibri" w:hAnsi="Cambria" w:cs="TTE10794A0t00"/>
          <w:b/>
          <w:sz w:val="22"/>
          <w:szCs w:val="22"/>
          <w:lang w:eastAsia="en-US"/>
        </w:rPr>
      </w:pPr>
      <w:r>
        <w:rPr>
          <w:rFonts w:ascii="Cambria" w:eastAsia="Calibri" w:hAnsi="Cambria" w:cs="TTE10794A0t00"/>
          <w:b/>
          <w:sz w:val="22"/>
          <w:szCs w:val="22"/>
          <w:lang w:eastAsia="en-US"/>
        </w:rPr>
        <w:t>DESCRIZIONE DEL SERVIZIO</w:t>
      </w:r>
    </w:p>
    <w:p w:rsidR="002A0306" w:rsidRDefault="002A0306" w:rsidP="002A0306">
      <w:pPr>
        <w:autoSpaceDE w:val="0"/>
        <w:autoSpaceDN w:val="0"/>
        <w:adjustRightInd w:val="0"/>
        <w:rPr>
          <w:rFonts w:ascii="TTE10794A0t00" w:eastAsia="Calibri" w:hAnsi="TTE10794A0t00" w:cs="TTE10794A0t00"/>
          <w:b/>
          <w:lang w:eastAsia="en-US"/>
        </w:rPr>
      </w:pPr>
    </w:p>
    <w:p w:rsidR="002A0306" w:rsidRDefault="00F80CE4" w:rsidP="002A0306">
      <w:pPr>
        <w:autoSpaceDE w:val="0"/>
        <w:autoSpaceDN w:val="0"/>
        <w:adjustRightInd w:val="0"/>
        <w:rPr>
          <w:rFonts w:ascii="Cambria" w:eastAsia="Calibri" w:hAnsi="Cambria" w:cs="TTE10832F0t00"/>
          <w:b/>
          <w:sz w:val="22"/>
          <w:szCs w:val="22"/>
          <w:lang w:eastAsia="en-US"/>
        </w:rPr>
      </w:pPr>
      <w:r>
        <w:rPr>
          <w:rFonts w:ascii="Cambria" w:eastAsia="Calibri" w:hAnsi="Cambria" w:cs="TTE10832F0t00"/>
          <w:b/>
          <w:sz w:val="22"/>
          <w:szCs w:val="22"/>
          <w:lang w:eastAsia="en-US"/>
        </w:rPr>
        <w:t>3.</w:t>
      </w:r>
      <w:r w:rsidR="002A0306">
        <w:rPr>
          <w:rFonts w:ascii="Cambria" w:eastAsia="Calibri" w:hAnsi="Cambria" w:cs="TTE10832F0t00"/>
          <w:b/>
          <w:sz w:val="22"/>
          <w:szCs w:val="22"/>
          <w:lang w:eastAsia="en-US"/>
        </w:rPr>
        <w:t>1)</w:t>
      </w:r>
      <w:r w:rsidR="002A0306">
        <w:rPr>
          <w:rFonts w:ascii="TTE10794A0t00" w:eastAsia="Calibri" w:hAnsi="TTE10794A0t00" w:cs="TTE10794A0t00"/>
          <w:b/>
          <w:lang w:eastAsia="en-US"/>
        </w:rPr>
        <w:t xml:space="preserve"> </w:t>
      </w:r>
      <w:r w:rsidR="002A0306">
        <w:rPr>
          <w:rFonts w:ascii="Cambria" w:eastAsia="Calibri" w:hAnsi="Cambria" w:cs="TTE10832F0t00"/>
          <w:b/>
          <w:sz w:val="22"/>
          <w:szCs w:val="22"/>
          <w:lang w:eastAsia="en-US"/>
        </w:rPr>
        <w:t>Organizzazione del servizio</w:t>
      </w:r>
    </w:p>
    <w:p w:rsidR="002A0306" w:rsidRDefault="002A0306" w:rsidP="002A0306">
      <w:pPr>
        <w:autoSpaceDE w:val="0"/>
        <w:autoSpaceDN w:val="0"/>
        <w:adjustRightInd w:val="0"/>
        <w:rPr>
          <w:rFonts w:ascii="TTE10794A0t00" w:eastAsia="Calibri" w:hAnsi="TTE10794A0t00" w:cs="TTE10794A0t00"/>
          <w:b/>
          <w:lang w:eastAsia="en-US"/>
        </w:rPr>
      </w:pP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>Il servizio di informazione di chiamate telefoniche outbound per i servizi socio-sanitari e sanitari  dovrà essere realizzato mediante l’utilizzo principale del canale telefonico</w:t>
      </w:r>
      <w:r>
        <w:rPr>
          <w:rFonts w:ascii="TTE10832F0t00" w:eastAsia="Calibri" w:hAnsi="TTE10832F0t00" w:cs="TTE10832F0t00"/>
          <w:lang w:eastAsia="en-US"/>
        </w:rPr>
        <w:t>.</w:t>
      </w:r>
    </w:p>
    <w:p w:rsidR="00F80CE4" w:rsidRDefault="00F80CE4" w:rsidP="00F80CE4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>Le informazioni necessarie all’espletamento dell’attività verranno trasmesse da EGAS per conto della Regione Friuli Venezia Giulia, garantendo anche eventuali specifiche integrazioni con componenti del Sistema Informativo Regionale.</w:t>
      </w: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</w:p>
    <w:p w:rsidR="002A0306" w:rsidRDefault="00F80CE4" w:rsidP="002A0306">
      <w:pPr>
        <w:autoSpaceDE w:val="0"/>
        <w:autoSpaceDN w:val="0"/>
        <w:adjustRightInd w:val="0"/>
        <w:rPr>
          <w:rFonts w:ascii="Cambria" w:eastAsia="Calibri" w:hAnsi="Cambria" w:cs="TTE10832F0t00"/>
          <w:b/>
          <w:sz w:val="22"/>
          <w:szCs w:val="22"/>
          <w:lang w:eastAsia="en-US"/>
        </w:rPr>
      </w:pPr>
      <w:r>
        <w:rPr>
          <w:rFonts w:ascii="Cambria" w:eastAsia="Calibri" w:hAnsi="Cambria" w:cs="TTE10832F0t00"/>
          <w:b/>
          <w:sz w:val="22"/>
          <w:szCs w:val="22"/>
          <w:lang w:eastAsia="en-US"/>
        </w:rPr>
        <w:t>3</w:t>
      </w:r>
      <w:r w:rsidR="002A0306">
        <w:rPr>
          <w:rFonts w:ascii="Cambria" w:eastAsia="Calibri" w:hAnsi="Cambria" w:cs="TTE10832F0t00"/>
          <w:b/>
          <w:sz w:val="22"/>
          <w:szCs w:val="22"/>
          <w:lang w:eastAsia="en-US"/>
        </w:rPr>
        <w:t>.2) Reportistica</w:t>
      </w:r>
    </w:p>
    <w:p w:rsidR="002A0306" w:rsidRDefault="002A0306" w:rsidP="002A0306">
      <w:pPr>
        <w:autoSpaceDE w:val="0"/>
        <w:autoSpaceDN w:val="0"/>
        <w:adjustRightInd w:val="0"/>
        <w:rPr>
          <w:rFonts w:ascii="TTE10794A0t00" w:eastAsia="Calibri" w:hAnsi="TTE10794A0t00" w:cs="TTE10794A0t00"/>
          <w:b/>
          <w:lang w:eastAsia="en-US"/>
        </w:rPr>
      </w:pP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 xml:space="preserve">Dalla presa in carico del servizio la ditta appaltatrice dovrà produrre la seguente reportistica minima: </w:t>
      </w: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</w:p>
    <w:p w:rsidR="002A0306" w:rsidRDefault="002A0306" w:rsidP="002A030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lastRenderedPageBreak/>
        <w:t>Report analitico di attività (da produrre entro il 5° giorno lavorativo del mese successivo) in cui siano evidenziati i volumi, le caratteristiche e l’esito dell’attività svolte anche ai fini della fatturazione.</w:t>
      </w: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</w:p>
    <w:p w:rsidR="002A0306" w:rsidRDefault="00F80CE4" w:rsidP="002A0306">
      <w:pPr>
        <w:autoSpaceDE w:val="0"/>
        <w:autoSpaceDN w:val="0"/>
        <w:adjustRightInd w:val="0"/>
        <w:rPr>
          <w:rFonts w:ascii="Cambria" w:eastAsia="Calibri" w:hAnsi="Cambria" w:cs="TTE10832F0t00"/>
          <w:b/>
          <w:sz w:val="22"/>
          <w:szCs w:val="22"/>
          <w:lang w:eastAsia="en-US"/>
        </w:rPr>
      </w:pPr>
      <w:r>
        <w:rPr>
          <w:rFonts w:ascii="Cambria" w:eastAsia="Calibri" w:hAnsi="Cambria" w:cs="TTE10832F0t00"/>
          <w:b/>
          <w:sz w:val="22"/>
          <w:szCs w:val="22"/>
          <w:lang w:eastAsia="en-US"/>
        </w:rPr>
        <w:t>3</w:t>
      </w:r>
      <w:r w:rsidR="002A0306">
        <w:rPr>
          <w:rFonts w:ascii="Cambria" w:eastAsia="Calibri" w:hAnsi="Cambria" w:cs="TTE10832F0t00"/>
          <w:b/>
          <w:sz w:val="22"/>
          <w:szCs w:val="22"/>
          <w:lang w:eastAsia="en-US"/>
        </w:rPr>
        <w:t>.3) Orario di funzionamento</w:t>
      </w:r>
    </w:p>
    <w:p w:rsidR="002A0306" w:rsidRDefault="002A0306" w:rsidP="002A0306">
      <w:pPr>
        <w:autoSpaceDE w:val="0"/>
        <w:autoSpaceDN w:val="0"/>
        <w:adjustRightInd w:val="0"/>
        <w:rPr>
          <w:rFonts w:ascii="TTE10794A0t00" w:eastAsia="Calibri" w:hAnsi="TTE10794A0t00" w:cs="TTE10794A0t00"/>
          <w:b/>
          <w:lang w:eastAsia="en-US"/>
        </w:rPr>
      </w:pP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>Il servizio di chiamate telefoniche outbound per i servizi socio-sanitari e sanitari potrà essere effettuato nella fascia oraria  8 - 20 tranne casi eccezionali  autorizzati e/o richiesti da EGAS.</w:t>
      </w: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</w:p>
    <w:p w:rsidR="002A0306" w:rsidRDefault="00F80CE4" w:rsidP="002A0306">
      <w:pPr>
        <w:autoSpaceDE w:val="0"/>
        <w:autoSpaceDN w:val="0"/>
        <w:adjustRightInd w:val="0"/>
        <w:rPr>
          <w:rFonts w:ascii="Cambria" w:eastAsia="Calibri" w:hAnsi="Cambria" w:cs="TTE10832F0t00"/>
          <w:b/>
          <w:sz w:val="22"/>
          <w:szCs w:val="22"/>
          <w:lang w:eastAsia="en-US"/>
        </w:rPr>
      </w:pPr>
      <w:r>
        <w:rPr>
          <w:rFonts w:ascii="Cambria" w:eastAsia="Calibri" w:hAnsi="Cambria" w:cs="TTE10832F0t00"/>
          <w:b/>
          <w:sz w:val="22"/>
          <w:szCs w:val="22"/>
          <w:lang w:eastAsia="en-US"/>
        </w:rPr>
        <w:t>3</w:t>
      </w:r>
      <w:r w:rsidR="002A0306">
        <w:rPr>
          <w:rFonts w:ascii="Cambria" w:eastAsia="Calibri" w:hAnsi="Cambria" w:cs="TTE10832F0t00"/>
          <w:b/>
          <w:sz w:val="22"/>
          <w:szCs w:val="22"/>
          <w:lang w:eastAsia="en-US"/>
        </w:rPr>
        <w:t>.4) Strutture tecniche necessarie per lo svolgimento del servizio</w:t>
      </w: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</w:p>
    <w:p w:rsidR="00F80CE4" w:rsidRDefault="002A0306" w:rsidP="002A0306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>La ditta appaltatrice dovrà</w:t>
      </w:r>
      <w:r w:rsidR="002E5FF4">
        <w:rPr>
          <w:rFonts w:ascii="Cambria" w:eastAsia="Calibri" w:hAnsi="Cambria" w:cs="TTE10832F0t00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TTE10832F0t00"/>
          <w:sz w:val="22"/>
          <w:szCs w:val="22"/>
          <w:lang w:eastAsia="en-US"/>
        </w:rPr>
        <w:t xml:space="preserve">utilizzare il software di gestione delle chiamate </w:t>
      </w:r>
      <w:r w:rsidR="00F80CE4">
        <w:rPr>
          <w:rFonts w:ascii="Cambria" w:eastAsia="Calibri" w:hAnsi="Cambria" w:cs="TTE10832F0t00"/>
          <w:sz w:val="22"/>
          <w:szCs w:val="22"/>
          <w:lang w:eastAsia="en-US"/>
        </w:rPr>
        <w:t>messo a disposizione dalla S.A.</w:t>
      </w:r>
    </w:p>
    <w:p w:rsidR="002E5FF4" w:rsidRDefault="002E5FF4" w:rsidP="002A0306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</w:p>
    <w:p w:rsidR="002A0306" w:rsidRDefault="00F80CE4" w:rsidP="002A0306">
      <w:pPr>
        <w:autoSpaceDE w:val="0"/>
        <w:autoSpaceDN w:val="0"/>
        <w:adjustRightInd w:val="0"/>
        <w:rPr>
          <w:rFonts w:ascii="Cambria" w:eastAsia="Calibri" w:hAnsi="Cambria" w:cs="TTE10832F0t00"/>
          <w:b/>
          <w:sz w:val="22"/>
          <w:szCs w:val="22"/>
          <w:lang w:eastAsia="en-US"/>
        </w:rPr>
      </w:pPr>
      <w:r>
        <w:rPr>
          <w:rFonts w:ascii="Cambria" w:eastAsia="Calibri" w:hAnsi="Cambria" w:cs="TTE10832F0t00"/>
          <w:b/>
          <w:sz w:val="22"/>
          <w:szCs w:val="22"/>
          <w:lang w:eastAsia="en-US"/>
        </w:rPr>
        <w:t>3</w:t>
      </w:r>
      <w:r w:rsidR="002E5FF4">
        <w:rPr>
          <w:rFonts w:ascii="Cambria" w:eastAsia="Calibri" w:hAnsi="Cambria" w:cs="TTE10832F0t00"/>
          <w:b/>
          <w:sz w:val="22"/>
          <w:szCs w:val="22"/>
          <w:lang w:eastAsia="en-US"/>
        </w:rPr>
        <w:t>.</w:t>
      </w:r>
      <w:r w:rsidR="002A0306">
        <w:rPr>
          <w:rFonts w:ascii="Cambria" w:eastAsia="Calibri" w:hAnsi="Cambria" w:cs="TTE10832F0t00"/>
          <w:b/>
          <w:sz w:val="22"/>
          <w:szCs w:val="22"/>
          <w:lang w:eastAsia="en-US"/>
        </w:rPr>
        <w:t>5) Personale</w:t>
      </w:r>
    </w:p>
    <w:p w:rsidR="002A0306" w:rsidRDefault="002A0306" w:rsidP="002A0306">
      <w:pPr>
        <w:pStyle w:val="Paragrafoelenco"/>
        <w:autoSpaceDE w:val="0"/>
        <w:autoSpaceDN w:val="0"/>
        <w:adjustRightInd w:val="0"/>
        <w:rPr>
          <w:rFonts w:ascii="TTE10794A0t00" w:eastAsia="Calibri" w:hAnsi="TTE10794A0t00" w:cs="TTE10794A0t00"/>
          <w:b/>
          <w:lang w:eastAsia="en-US"/>
        </w:rPr>
      </w:pPr>
    </w:p>
    <w:p w:rsidR="002A0306" w:rsidRDefault="002A0306" w:rsidP="002A030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>Il personale impiegato dovrà possedere i requisiti di professionalità necessari per lo svolgimento delle prestazioni previste: competenze tecniche, motivazione e abilità relazionale.</w:t>
      </w: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</w:p>
    <w:p w:rsidR="002A0306" w:rsidRPr="00F80CE4" w:rsidRDefault="002A0306" w:rsidP="002A030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 w:rsidRPr="00F80CE4">
        <w:rPr>
          <w:rFonts w:ascii="Cambria" w:eastAsia="Calibri" w:hAnsi="Cambria" w:cs="TTE10832F0t00"/>
          <w:sz w:val="22"/>
          <w:szCs w:val="22"/>
          <w:lang w:eastAsia="en-US"/>
        </w:rPr>
        <w:t>Il servizio dovrà essere svolto in lingua italiana, ma considerate le peculiarità del territorio regionale del Friuli Venezia Giulia, dovranno essere garantiti anche operatori in possesso della conoscenza della lingua friulana</w:t>
      </w:r>
      <w:r w:rsidR="00F80CE4" w:rsidRPr="00F80CE4">
        <w:rPr>
          <w:rFonts w:ascii="Cambria" w:eastAsia="Calibri" w:hAnsi="Cambria" w:cs="TTE10832F0t00"/>
          <w:sz w:val="22"/>
          <w:szCs w:val="22"/>
          <w:lang w:eastAsia="en-US"/>
        </w:rPr>
        <w:t>,</w:t>
      </w:r>
      <w:r w:rsidRPr="00F80CE4">
        <w:rPr>
          <w:rFonts w:ascii="Cambria" w:eastAsia="Calibri" w:hAnsi="Cambria" w:cs="TTE10832F0t00"/>
          <w:sz w:val="22"/>
          <w:szCs w:val="22"/>
          <w:lang w:eastAsia="en-US"/>
        </w:rPr>
        <w:t xml:space="preserve"> </w:t>
      </w:r>
      <w:r w:rsidR="00F80CE4" w:rsidRPr="00F80CE4">
        <w:rPr>
          <w:rFonts w:ascii="Cambria" w:eastAsia="Calibri" w:hAnsi="Cambria" w:cs="TTE10832F0t00"/>
          <w:sz w:val="22"/>
          <w:szCs w:val="22"/>
          <w:lang w:eastAsia="en-US"/>
        </w:rPr>
        <w:t xml:space="preserve">della lingua inglese </w:t>
      </w:r>
      <w:r w:rsidRPr="00F80CE4">
        <w:rPr>
          <w:rFonts w:ascii="Cambria" w:eastAsia="Calibri" w:hAnsi="Cambria" w:cs="TTE10832F0t00"/>
          <w:sz w:val="22"/>
          <w:szCs w:val="22"/>
          <w:lang w:eastAsia="en-US"/>
        </w:rPr>
        <w:t>e della lingua slovena.</w:t>
      </w: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</w:p>
    <w:p w:rsidR="002A0306" w:rsidRDefault="002A0306" w:rsidP="002A030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mbria" w:eastAsia="Calibri" w:hAnsi="Cambria" w:cs="TTE10832F0t00"/>
          <w:sz w:val="22"/>
          <w:szCs w:val="22"/>
          <w:lang w:eastAsia="en-US"/>
        </w:rPr>
      </w:pPr>
      <w:r>
        <w:rPr>
          <w:rFonts w:ascii="Cambria" w:eastAsia="Calibri" w:hAnsi="Cambria" w:cs="TTE10832F0t00"/>
          <w:sz w:val="22"/>
          <w:szCs w:val="22"/>
          <w:lang w:eastAsia="en-US"/>
        </w:rPr>
        <w:t>Al fine di verificare i requisiti sopra indicati, i curricula degli operatori individuati dal candidato soggetto gestore dovranno essere presentati, pena l’esclusione, prima della stipula del contratto.</w:t>
      </w:r>
    </w:p>
    <w:p w:rsidR="002A0306" w:rsidRDefault="002A0306" w:rsidP="002A0306">
      <w:pPr>
        <w:autoSpaceDE w:val="0"/>
        <w:autoSpaceDN w:val="0"/>
        <w:adjustRightInd w:val="0"/>
        <w:ind w:left="720"/>
        <w:jc w:val="both"/>
        <w:rPr>
          <w:rFonts w:ascii="TTE10832F0t00" w:eastAsia="Calibri" w:hAnsi="TTE10832F0t00" w:cs="TTE10832F0t00"/>
          <w:lang w:eastAsia="en-US"/>
        </w:rPr>
      </w:pP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</w:p>
    <w:p w:rsidR="002A0306" w:rsidRPr="003A15A4" w:rsidRDefault="002A0306" w:rsidP="002A0306">
      <w:pPr>
        <w:autoSpaceDE w:val="0"/>
        <w:autoSpaceDN w:val="0"/>
        <w:adjustRightInd w:val="0"/>
        <w:spacing w:before="100" w:beforeAutospacing="1" w:after="100" w:afterAutospacing="1"/>
        <w:rPr>
          <w:rFonts w:ascii="TTE10794A0t00" w:eastAsia="Calibri" w:hAnsi="TTE10794A0t00" w:cs="TTE10794A0t00"/>
          <w:b/>
          <w:color w:val="FF0000"/>
          <w:sz w:val="24"/>
          <w:szCs w:val="24"/>
          <w:lang w:eastAsia="en-US"/>
        </w:rPr>
      </w:pPr>
    </w:p>
    <w:p w:rsidR="002A0306" w:rsidRPr="003A15A4" w:rsidRDefault="002A0306" w:rsidP="002A0306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Cambria" w:eastAsia="Calibri" w:hAnsi="Cambria" w:cs="TTE10832F0t00"/>
          <w:color w:val="FF0000"/>
          <w:sz w:val="22"/>
          <w:szCs w:val="22"/>
          <w:lang w:eastAsia="en-US"/>
        </w:rPr>
      </w:pPr>
    </w:p>
    <w:p w:rsidR="002A0306" w:rsidRPr="003A15A4" w:rsidRDefault="002A0306" w:rsidP="002A0306">
      <w:pPr>
        <w:autoSpaceDE w:val="0"/>
        <w:autoSpaceDN w:val="0"/>
        <w:adjustRightInd w:val="0"/>
        <w:spacing w:before="100" w:beforeAutospacing="1" w:after="100" w:afterAutospacing="1"/>
        <w:ind w:left="1440"/>
        <w:contextualSpacing/>
        <w:jc w:val="both"/>
        <w:rPr>
          <w:rFonts w:ascii="Cambria" w:eastAsia="Calibri" w:hAnsi="Cambria" w:cs="TTE10832F0t00"/>
          <w:color w:val="FF0000"/>
          <w:sz w:val="22"/>
          <w:szCs w:val="22"/>
          <w:lang w:eastAsia="en-US"/>
        </w:rPr>
      </w:pPr>
    </w:p>
    <w:p w:rsidR="002A0306" w:rsidRPr="003A15A4" w:rsidRDefault="002A0306" w:rsidP="002A0306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color w:val="FF0000"/>
          <w:lang w:eastAsia="en-US"/>
        </w:rPr>
      </w:pPr>
    </w:p>
    <w:p w:rsidR="002A0306" w:rsidRPr="003A15A4" w:rsidRDefault="002A0306" w:rsidP="002A0306">
      <w:pPr>
        <w:autoSpaceDE w:val="0"/>
        <w:autoSpaceDN w:val="0"/>
        <w:adjustRightInd w:val="0"/>
        <w:ind w:left="1440"/>
        <w:jc w:val="both"/>
        <w:rPr>
          <w:rFonts w:ascii="TTE10832F0t00" w:eastAsia="Calibri" w:hAnsi="TTE10832F0t00" w:cs="TTE10832F0t00"/>
          <w:color w:val="FF0000"/>
          <w:lang w:eastAsia="en-US"/>
        </w:rPr>
      </w:pPr>
    </w:p>
    <w:p w:rsidR="002A0306" w:rsidRDefault="002A0306" w:rsidP="002A0306">
      <w:pPr>
        <w:autoSpaceDE w:val="0"/>
        <w:autoSpaceDN w:val="0"/>
        <w:adjustRightInd w:val="0"/>
        <w:ind w:left="720"/>
        <w:jc w:val="both"/>
        <w:rPr>
          <w:rFonts w:ascii="TTE10832F0t00" w:eastAsia="Calibri" w:hAnsi="TTE10832F0t00" w:cs="TTE10832F0t00"/>
          <w:lang w:eastAsia="en-US"/>
        </w:rPr>
      </w:pPr>
    </w:p>
    <w:p w:rsidR="002A0306" w:rsidRDefault="002A0306" w:rsidP="002A0306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</w:p>
    <w:p w:rsidR="006364DE" w:rsidRDefault="006364DE"/>
    <w:sectPr w:rsidR="006364DE" w:rsidSect="006364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0794A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0832F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D2192"/>
    <w:multiLevelType w:val="hybridMultilevel"/>
    <w:tmpl w:val="BB1216D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A365D"/>
    <w:multiLevelType w:val="hybridMultilevel"/>
    <w:tmpl w:val="9A22AA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7B2C7F"/>
    <w:multiLevelType w:val="hybridMultilevel"/>
    <w:tmpl w:val="60BC9BA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FB21EC"/>
    <w:multiLevelType w:val="hybridMultilevel"/>
    <w:tmpl w:val="511C28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7B1021"/>
    <w:multiLevelType w:val="hybridMultilevel"/>
    <w:tmpl w:val="0F9056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3E08C0"/>
    <w:multiLevelType w:val="hybridMultilevel"/>
    <w:tmpl w:val="B0F8CC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A0306"/>
    <w:rsid w:val="00025BF1"/>
    <w:rsid w:val="000C313C"/>
    <w:rsid w:val="00104C9D"/>
    <w:rsid w:val="00141FE5"/>
    <w:rsid w:val="002A0306"/>
    <w:rsid w:val="002E5FF4"/>
    <w:rsid w:val="00370B56"/>
    <w:rsid w:val="00374CDC"/>
    <w:rsid w:val="003A15A4"/>
    <w:rsid w:val="003C2FCC"/>
    <w:rsid w:val="004B2FED"/>
    <w:rsid w:val="004C6039"/>
    <w:rsid w:val="006364DE"/>
    <w:rsid w:val="007D7BF5"/>
    <w:rsid w:val="00A7602F"/>
    <w:rsid w:val="00B07769"/>
    <w:rsid w:val="00B806A4"/>
    <w:rsid w:val="00D23F98"/>
    <w:rsid w:val="00EA43F7"/>
    <w:rsid w:val="00ED624E"/>
    <w:rsid w:val="00F80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0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030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760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602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602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60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602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0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602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2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AOUUD</dc:creator>
  <cp:lastModifiedBy>AOUUD</cp:lastModifiedBy>
  <cp:revision>2</cp:revision>
  <dcterms:created xsi:type="dcterms:W3CDTF">2016-10-18T11:45:00Z</dcterms:created>
  <dcterms:modified xsi:type="dcterms:W3CDTF">2016-10-18T11:45:00Z</dcterms:modified>
</cp:coreProperties>
</file>